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B7A75" w14:textId="67C8B4B9" w:rsidR="002D3FFD" w:rsidRPr="007B0D12" w:rsidRDefault="002D3FFD" w:rsidP="00694F52">
      <w:pPr>
        <w:pStyle w:val="NormalnyWeb"/>
        <w:shd w:val="clear" w:color="auto" w:fill="FFFFFF"/>
        <w:spacing w:before="0" w:after="0"/>
        <w:rPr>
          <w:rFonts w:asciiTheme="minorHAnsi" w:hAnsiTheme="minorHAnsi" w:cstheme="minorHAnsi"/>
          <w:b/>
          <w:bCs/>
          <w:color w:val="2C2C2D"/>
        </w:rPr>
      </w:pPr>
      <w:r w:rsidRPr="007B0D12">
        <w:rPr>
          <w:rFonts w:asciiTheme="minorHAnsi" w:hAnsiTheme="minorHAnsi" w:cstheme="minorHAnsi"/>
          <w:b/>
          <w:bCs/>
          <w:color w:val="2C2C2D"/>
        </w:rPr>
        <w:t xml:space="preserve">Decyzje dla beneficjentów Tarczy Finansowej PFR 2.0 </w:t>
      </w:r>
      <w:r w:rsidR="0083285B" w:rsidRPr="007B0D12">
        <w:rPr>
          <w:rFonts w:asciiTheme="minorHAnsi" w:hAnsiTheme="minorHAnsi" w:cstheme="minorHAnsi"/>
          <w:b/>
          <w:bCs/>
          <w:color w:val="2C2C2D"/>
        </w:rPr>
        <w:t xml:space="preserve">dostępne </w:t>
      </w:r>
      <w:r w:rsidRPr="007B0D12">
        <w:rPr>
          <w:rFonts w:asciiTheme="minorHAnsi" w:hAnsiTheme="minorHAnsi" w:cstheme="minorHAnsi"/>
          <w:b/>
          <w:bCs/>
          <w:color w:val="2C2C2D"/>
        </w:rPr>
        <w:t>od 1</w:t>
      </w:r>
      <w:r w:rsidR="00705A72">
        <w:rPr>
          <w:rFonts w:asciiTheme="minorHAnsi" w:hAnsiTheme="minorHAnsi" w:cstheme="minorHAnsi"/>
          <w:b/>
          <w:bCs/>
          <w:color w:val="2C2C2D"/>
        </w:rPr>
        <w:t>3</w:t>
      </w:r>
      <w:r w:rsidRPr="007B0D12">
        <w:rPr>
          <w:rFonts w:asciiTheme="minorHAnsi" w:hAnsiTheme="minorHAnsi" w:cstheme="minorHAnsi"/>
          <w:b/>
          <w:bCs/>
          <w:color w:val="2C2C2D"/>
        </w:rPr>
        <w:t xml:space="preserve"> lipca</w:t>
      </w:r>
    </w:p>
    <w:p w14:paraId="31B35A69" w14:textId="216FCF04" w:rsidR="00694F52" w:rsidRPr="007B0D12" w:rsidRDefault="00694F52" w:rsidP="00CA207C">
      <w:pPr>
        <w:pStyle w:val="NormalnyWeb"/>
        <w:shd w:val="clear" w:color="auto" w:fill="FFFFFF"/>
        <w:spacing w:before="0" w:after="0"/>
        <w:jc w:val="both"/>
        <w:rPr>
          <w:rStyle w:val="Pogrubienie"/>
          <w:rFonts w:asciiTheme="minorHAnsi" w:hAnsiTheme="minorHAnsi" w:cstheme="minorHAnsi"/>
          <w:color w:val="2C2C2D"/>
        </w:rPr>
      </w:pPr>
      <w:r w:rsidRPr="007B0D12">
        <w:rPr>
          <w:rFonts w:asciiTheme="minorHAnsi" w:hAnsiTheme="minorHAnsi" w:cstheme="minorHAnsi"/>
          <w:color w:val="2C2C2D"/>
        </w:rPr>
        <w:t>Uprzejmie informujemy, że</w:t>
      </w:r>
      <w:r w:rsidRPr="007B0D12">
        <w:rPr>
          <w:rStyle w:val="Pogrubienie"/>
          <w:rFonts w:asciiTheme="minorHAnsi" w:hAnsiTheme="minorHAnsi" w:cstheme="minorHAnsi"/>
          <w:color w:val="2C2C2D"/>
        </w:rPr>
        <w:t xml:space="preserve"> decyzje dotyczące zwrotów subwencji finansowych </w:t>
      </w:r>
      <w:r w:rsidR="009503FA" w:rsidRPr="007B0D12">
        <w:rPr>
          <w:rStyle w:val="Pogrubienie"/>
          <w:rFonts w:asciiTheme="minorHAnsi" w:hAnsiTheme="minorHAnsi" w:cstheme="minorHAnsi"/>
          <w:color w:val="2C2C2D"/>
        </w:rPr>
        <w:t xml:space="preserve">w ramach </w:t>
      </w:r>
      <w:r w:rsidRPr="007B0D12">
        <w:rPr>
          <w:rStyle w:val="Pogrubienie"/>
          <w:rFonts w:asciiTheme="minorHAnsi" w:hAnsiTheme="minorHAnsi" w:cstheme="minorHAnsi"/>
          <w:color w:val="2C2C2D"/>
        </w:rPr>
        <w:t>Tarczy Finansowej PFR 2.0 dla mikrofirm i MŚP</w:t>
      </w:r>
      <w:r w:rsidRPr="007B0D12">
        <w:rPr>
          <w:rFonts w:asciiTheme="minorHAnsi" w:hAnsiTheme="minorHAnsi" w:cstheme="minorHAnsi"/>
          <w:color w:val="2C2C2D"/>
        </w:rPr>
        <w:t> </w:t>
      </w:r>
      <w:r w:rsidRPr="007B0D12">
        <w:rPr>
          <w:rStyle w:val="Pogrubienie"/>
          <w:rFonts w:asciiTheme="minorHAnsi" w:hAnsiTheme="minorHAnsi" w:cstheme="minorHAnsi"/>
          <w:color w:val="2C2C2D"/>
        </w:rPr>
        <w:t xml:space="preserve">będą udostępniane w serwisach </w:t>
      </w:r>
      <w:bookmarkStart w:id="0" w:name="_GoBack"/>
      <w:bookmarkEnd w:id="0"/>
      <w:r w:rsidRPr="007B0D12">
        <w:rPr>
          <w:rStyle w:val="Pogrubienie"/>
          <w:rFonts w:asciiTheme="minorHAnsi" w:hAnsiTheme="minorHAnsi" w:cstheme="minorHAnsi"/>
          <w:color w:val="2C2C2D"/>
        </w:rPr>
        <w:t>transakcyjnych bank</w:t>
      </w:r>
      <w:r w:rsidR="009503FA" w:rsidRPr="007B0D12">
        <w:rPr>
          <w:rStyle w:val="Pogrubienie"/>
          <w:rFonts w:asciiTheme="minorHAnsi" w:hAnsiTheme="minorHAnsi" w:cstheme="minorHAnsi"/>
          <w:color w:val="2C2C2D"/>
        </w:rPr>
        <w:t>ów</w:t>
      </w:r>
      <w:r w:rsidRPr="007B0D12">
        <w:rPr>
          <w:rStyle w:val="Pogrubienie"/>
          <w:rFonts w:asciiTheme="minorHAnsi" w:hAnsiTheme="minorHAnsi" w:cstheme="minorHAnsi"/>
          <w:color w:val="2C2C2D"/>
        </w:rPr>
        <w:t xml:space="preserve"> od </w:t>
      </w:r>
      <w:r w:rsidR="00562E53" w:rsidRPr="007B0D12">
        <w:rPr>
          <w:rStyle w:val="Pogrubienie"/>
          <w:rFonts w:asciiTheme="minorHAnsi" w:hAnsiTheme="minorHAnsi" w:cstheme="minorHAnsi"/>
          <w:color w:val="2C2C2D"/>
        </w:rPr>
        <w:t xml:space="preserve">dnia </w:t>
      </w:r>
      <w:r w:rsidRPr="007B0D12">
        <w:rPr>
          <w:rStyle w:val="Pogrubienie"/>
          <w:rFonts w:asciiTheme="minorHAnsi" w:hAnsiTheme="minorHAnsi" w:cstheme="minorHAnsi"/>
          <w:color w:val="2C2C2D"/>
        </w:rPr>
        <w:t xml:space="preserve">13 do </w:t>
      </w:r>
      <w:r w:rsidR="00562E53" w:rsidRPr="007B0D12">
        <w:rPr>
          <w:rStyle w:val="Pogrubienie"/>
          <w:rFonts w:asciiTheme="minorHAnsi" w:hAnsiTheme="minorHAnsi" w:cstheme="minorHAnsi"/>
          <w:color w:val="2C2C2D"/>
        </w:rPr>
        <w:t xml:space="preserve">dnia </w:t>
      </w:r>
      <w:r w:rsidRPr="007B0D12">
        <w:rPr>
          <w:rStyle w:val="Pogrubienie"/>
          <w:rFonts w:asciiTheme="minorHAnsi" w:hAnsiTheme="minorHAnsi" w:cstheme="minorHAnsi"/>
          <w:color w:val="2C2C2D"/>
        </w:rPr>
        <w:t>15 lipca</w:t>
      </w:r>
      <w:r w:rsidR="00FD3B9F" w:rsidRPr="007B0D12">
        <w:rPr>
          <w:rStyle w:val="Pogrubienie"/>
          <w:rFonts w:asciiTheme="minorHAnsi" w:hAnsiTheme="minorHAnsi" w:cstheme="minorHAnsi"/>
          <w:color w:val="2C2C2D"/>
        </w:rPr>
        <w:t xml:space="preserve"> br</w:t>
      </w:r>
      <w:r w:rsidRPr="007B0D12">
        <w:rPr>
          <w:rStyle w:val="Pogrubienie"/>
          <w:rFonts w:asciiTheme="minorHAnsi" w:hAnsiTheme="minorHAnsi" w:cstheme="minorHAnsi"/>
          <w:color w:val="2C2C2D"/>
        </w:rPr>
        <w:t>.</w:t>
      </w:r>
      <w:r w:rsidR="00D838DC" w:rsidRPr="007B0D12">
        <w:rPr>
          <w:rStyle w:val="Pogrubienie"/>
          <w:rFonts w:asciiTheme="minorHAnsi" w:hAnsiTheme="minorHAnsi" w:cstheme="minorHAnsi"/>
          <w:color w:val="2C2C2D"/>
        </w:rPr>
        <w:t xml:space="preserve"> Prosimy beneficjentów o </w:t>
      </w:r>
      <w:r w:rsidR="00562E53" w:rsidRPr="007B0D12">
        <w:rPr>
          <w:rStyle w:val="Pogrubienie"/>
          <w:rFonts w:asciiTheme="minorHAnsi" w:hAnsiTheme="minorHAnsi" w:cstheme="minorHAnsi"/>
          <w:color w:val="2C2C2D"/>
        </w:rPr>
        <w:t xml:space="preserve">sprawdzanie komunikatów w </w:t>
      </w:r>
      <w:r w:rsidR="00D838DC" w:rsidRPr="007B0D12">
        <w:rPr>
          <w:rStyle w:val="Pogrubienie"/>
          <w:rFonts w:asciiTheme="minorHAnsi" w:hAnsiTheme="minorHAnsi" w:cstheme="minorHAnsi"/>
          <w:color w:val="2C2C2D"/>
        </w:rPr>
        <w:t xml:space="preserve">bankowości </w:t>
      </w:r>
      <w:r w:rsidR="00FD3B9F" w:rsidRPr="007B0D12">
        <w:rPr>
          <w:rStyle w:val="Pogrubienie"/>
          <w:rFonts w:asciiTheme="minorHAnsi" w:hAnsiTheme="minorHAnsi" w:cstheme="minorHAnsi"/>
          <w:color w:val="2C2C2D"/>
        </w:rPr>
        <w:t>elektronicznej</w:t>
      </w:r>
      <w:r w:rsidR="00D838DC" w:rsidRPr="007B0D12">
        <w:rPr>
          <w:rStyle w:val="Pogrubienie"/>
          <w:rFonts w:asciiTheme="minorHAnsi" w:hAnsiTheme="minorHAnsi" w:cstheme="minorHAnsi"/>
          <w:color w:val="2C2C2D"/>
        </w:rPr>
        <w:t xml:space="preserve"> w tym okresie.</w:t>
      </w:r>
    </w:p>
    <w:p w14:paraId="5D48E741" w14:textId="0BB835D0" w:rsidR="00D838DC" w:rsidRPr="007B0D12" w:rsidRDefault="00D838DC" w:rsidP="00CA207C">
      <w:pPr>
        <w:pStyle w:val="NormalnyWeb"/>
        <w:shd w:val="clear" w:color="auto" w:fill="FFFFFF"/>
        <w:spacing w:before="0" w:after="0"/>
        <w:jc w:val="both"/>
        <w:rPr>
          <w:rStyle w:val="Pogrubienie"/>
          <w:rFonts w:asciiTheme="minorHAnsi" w:hAnsiTheme="minorHAnsi" w:cstheme="minorHAnsi"/>
          <w:color w:val="2C2C2D"/>
        </w:rPr>
      </w:pPr>
      <w:r w:rsidRPr="007B0D12">
        <w:rPr>
          <w:rStyle w:val="Pogrubienie"/>
          <w:rFonts w:asciiTheme="minorHAnsi" w:hAnsiTheme="minorHAnsi" w:cstheme="minorHAnsi"/>
          <w:color w:val="2C2C2D"/>
        </w:rPr>
        <w:t>W przypadku</w:t>
      </w:r>
      <w:r w:rsidR="00562E53" w:rsidRPr="007B0D12">
        <w:rPr>
          <w:rStyle w:val="Pogrubienie"/>
          <w:rFonts w:asciiTheme="minorHAnsi" w:hAnsiTheme="minorHAnsi" w:cstheme="minorHAnsi"/>
          <w:color w:val="2C2C2D"/>
        </w:rPr>
        <w:t>,</w:t>
      </w:r>
      <w:r w:rsidRPr="007B0D12">
        <w:rPr>
          <w:rStyle w:val="Pogrubienie"/>
          <w:rFonts w:asciiTheme="minorHAnsi" w:hAnsiTheme="minorHAnsi" w:cstheme="minorHAnsi"/>
          <w:color w:val="2C2C2D"/>
        </w:rPr>
        <w:t xml:space="preserve"> zarówno mikrofirm, jaki i MŚP</w:t>
      </w:r>
      <w:r w:rsidR="00562E53" w:rsidRPr="007B0D12">
        <w:rPr>
          <w:rStyle w:val="Pogrubienie"/>
          <w:rFonts w:asciiTheme="minorHAnsi" w:hAnsiTheme="minorHAnsi" w:cstheme="minorHAnsi"/>
          <w:color w:val="2C2C2D"/>
        </w:rPr>
        <w:t>,</w:t>
      </w:r>
      <w:r w:rsidRPr="007B0D12">
        <w:rPr>
          <w:rStyle w:val="Pogrubienie"/>
          <w:rFonts w:asciiTheme="minorHAnsi" w:hAnsiTheme="minorHAnsi" w:cstheme="minorHAnsi"/>
          <w:color w:val="2C2C2D"/>
        </w:rPr>
        <w:t xml:space="preserve"> decyzja PFR o całkowitym umorzeniu subwencji </w:t>
      </w:r>
      <w:r w:rsidRPr="007B0D12">
        <w:rPr>
          <w:rStyle w:val="Pogrubienie"/>
          <w:rFonts w:asciiTheme="minorHAnsi" w:hAnsiTheme="minorHAnsi" w:cstheme="minorHAnsi"/>
          <w:b w:val="0"/>
          <w:bCs w:val="0"/>
          <w:color w:val="2C2C2D"/>
        </w:rPr>
        <w:t xml:space="preserve">oznacza, że przedsiębiorca jest rozliczony z PFR i </w:t>
      </w:r>
      <w:r w:rsidRPr="007B0D12">
        <w:rPr>
          <w:rStyle w:val="Pogrubienie"/>
          <w:rFonts w:asciiTheme="minorHAnsi" w:hAnsiTheme="minorHAnsi" w:cstheme="minorHAnsi"/>
          <w:color w:val="2C2C2D"/>
        </w:rPr>
        <w:t>nie musi już nic robić.</w:t>
      </w:r>
    </w:p>
    <w:p w14:paraId="246D2CBB" w14:textId="6688609B" w:rsidR="00D838DC" w:rsidRPr="007B0D12" w:rsidRDefault="00D838DC" w:rsidP="00CA207C">
      <w:pPr>
        <w:pStyle w:val="NormalnyWeb"/>
        <w:shd w:val="clear" w:color="auto" w:fill="FFFFFF"/>
        <w:spacing w:before="0" w:after="0"/>
        <w:jc w:val="both"/>
        <w:rPr>
          <w:rStyle w:val="Pogrubienie"/>
          <w:rFonts w:asciiTheme="minorHAnsi" w:hAnsiTheme="minorHAnsi" w:cstheme="minorHAnsi"/>
          <w:b w:val="0"/>
          <w:bCs w:val="0"/>
          <w:color w:val="2C2C2D"/>
        </w:rPr>
      </w:pPr>
      <w:r w:rsidRPr="007B0D12">
        <w:rPr>
          <w:rStyle w:val="Pogrubienie"/>
          <w:rFonts w:asciiTheme="minorHAnsi" w:hAnsiTheme="minorHAnsi" w:cstheme="minorHAnsi"/>
          <w:b w:val="0"/>
          <w:bCs w:val="0"/>
          <w:color w:val="2C2C2D"/>
        </w:rPr>
        <w:t xml:space="preserve">W </w:t>
      </w:r>
      <w:r w:rsidR="00CA207C">
        <w:rPr>
          <w:rStyle w:val="Pogrubienie"/>
          <w:rFonts w:asciiTheme="minorHAnsi" w:hAnsiTheme="minorHAnsi" w:cstheme="minorHAnsi"/>
          <w:b w:val="0"/>
          <w:bCs w:val="0"/>
          <w:color w:val="2C2C2D"/>
        </w:rPr>
        <w:t>sytuacji</w:t>
      </w:r>
      <w:r w:rsidRPr="007B0D12">
        <w:rPr>
          <w:rStyle w:val="Pogrubienie"/>
          <w:rFonts w:asciiTheme="minorHAnsi" w:hAnsiTheme="minorHAnsi" w:cstheme="minorHAnsi"/>
          <w:b w:val="0"/>
          <w:bCs w:val="0"/>
          <w:color w:val="2C2C2D"/>
        </w:rPr>
        <w:t xml:space="preserve">, gdy mikrofirma nie spełniła warunków umorzenia, m.in. nie utrzymała </w:t>
      </w:r>
      <w:r w:rsidR="00FD3B9F" w:rsidRPr="007B0D12">
        <w:rPr>
          <w:rStyle w:val="Pogrubienie"/>
          <w:rFonts w:asciiTheme="minorHAnsi" w:hAnsiTheme="minorHAnsi" w:cstheme="minorHAnsi"/>
          <w:b w:val="0"/>
          <w:bCs w:val="0"/>
          <w:color w:val="2C2C2D"/>
        </w:rPr>
        <w:t>zatrudnienia</w:t>
      </w:r>
      <w:r w:rsidR="009503FA" w:rsidRPr="007B0D12">
        <w:rPr>
          <w:rStyle w:val="Pogrubienie"/>
          <w:rFonts w:asciiTheme="minorHAnsi" w:hAnsiTheme="minorHAnsi" w:cstheme="minorHAnsi"/>
          <w:b w:val="0"/>
          <w:bCs w:val="0"/>
          <w:color w:val="2C2C2D"/>
        </w:rPr>
        <w:t>,</w:t>
      </w:r>
      <w:r w:rsidRPr="007B0D12">
        <w:rPr>
          <w:rStyle w:val="Pogrubienie"/>
          <w:rFonts w:asciiTheme="minorHAnsi" w:hAnsiTheme="minorHAnsi" w:cstheme="minorHAnsi"/>
          <w:b w:val="0"/>
          <w:bCs w:val="0"/>
          <w:color w:val="2C2C2D"/>
        </w:rPr>
        <w:t xml:space="preserve"> przedsi</w:t>
      </w:r>
      <w:r w:rsidR="00F60931" w:rsidRPr="007B0D12">
        <w:rPr>
          <w:rStyle w:val="Pogrubienie"/>
          <w:rFonts w:asciiTheme="minorHAnsi" w:hAnsiTheme="minorHAnsi" w:cstheme="minorHAnsi"/>
          <w:b w:val="0"/>
          <w:bCs w:val="0"/>
          <w:color w:val="2C2C2D"/>
        </w:rPr>
        <w:t>ę</w:t>
      </w:r>
      <w:r w:rsidRPr="007B0D12">
        <w:rPr>
          <w:rStyle w:val="Pogrubienie"/>
          <w:rFonts w:asciiTheme="minorHAnsi" w:hAnsiTheme="minorHAnsi" w:cstheme="minorHAnsi"/>
          <w:b w:val="0"/>
          <w:bCs w:val="0"/>
          <w:color w:val="2C2C2D"/>
        </w:rPr>
        <w:t>biorca otrzyma w</w:t>
      </w:r>
      <w:r w:rsidR="00617668" w:rsidRPr="007B0D12">
        <w:rPr>
          <w:rStyle w:val="Pogrubienie"/>
          <w:rFonts w:asciiTheme="minorHAnsi" w:hAnsiTheme="minorHAnsi" w:cstheme="minorHAnsi"/>
          <w:b w:val="0"/>
          <w:bCs w:val="0"/>
          <w:color w:val="2C2C2D"/>
        </w:rPr>
        <w:t xml:space="preserve"> treści</w:t>
      </w:r>
      <w:r w:rsidRPr="007B0D12">
        <w:rPr>
          <w:rStyle w:val="Pogrubienie"/>
          <w:rFonts w:asciiTheme="minorHAnsi" w:hAnsiTheme="minorHAnsi" w:cstheme="minorHAnsi"/>
          <w:b w:val="0"/>
          <w:bCs w:val="0"/>
          <w:color w:val="2C2C2D"/>
        </w:rPr>
        <w:t xml:space="preserve"> decyzji informację o wysokości kwoty do zwrotu oraz numeru konta PFR, na który ten zwrot musi zostać </w:t>
      </w:r>
      <w:r w:rsidR="00617668" w:rsidRPr="007B0D12">
        <w:rPr>
          <w:rStyle w:val="Pogrubienie"/>
          <w:rFonts w:asciiTheme="minorHAnsi" w:hAnsiTheme="minorHAnsi" w:cstheme="minorHAnsi"/>
          <w:b w:val="0"/>
          <w:bCs w:val="0"/>
          <w:color w:val="2C2C2D"/>
        </w:rPr>
        <w:t>do</w:t>
      </w:r>
      <w:r w:rsidRPr="007B0D12">
        <w:rPr>
          <w:rStyle w:val="Pogrubienie"/>
          <w:rFonts w:asciiTheme="minorHAnsi" w:hAnsiTheme="minorHAnsi" w:cstheme="minorHAnsi"/>
          <w:b w:val="0"/>
          <w:bCs w:val="0"/>
          <w:color w:val="2C2C2D"/>
        </w:rPr>
        <w:t>konany.</w:t>
      </w:r>
      <w:r w:rsidR="00617668" w:rsidRPr="007B0D12">
        <w:rPr>
          <w:rStyle w:val="Pogrubienie"/>
          <w:rFonts w:asciiTheme="minorHAnsi" w:hAnsiTheme="minorHAnsi" w:cstheme="minorHAnsi"/>
          <w:b w:val="0"/>
          <w:bCs w:val="0"/>
          <w:color w:val="2C2C2D"/>
        </w:rPr>
        <w:t xml:space="preserve"> </w:t>
      </w:r>
      <w:r w:rsidRPr="007B0D12">
        <w:rPr>
          <w:rStyle w:val="Pogrubienie"/>
          <w:rFonts w:asciiTheme="minorHAnsi" w:hAnsiTheme="minorHAnsi" w:cstheme="minorHAnsi"/>
          <w:b w:val="0"/>
          <w:bCs w:val="0"/>
          <w:color w:val="2C2C2D"/>
        </w:rPr>
        <w:t>Mikrofirmy są zobowiązane do zwrotu nieumorzonej część subwencji finansowej do 15 września 2022 r.</w:t>
      </w:r>
    </w:p>
    <w:p w14:paraId="6DF33C0D" w14:textId="69B88407" w:rsidR="00617668" w:rsidRPr="007B0D12" w:rsidRDefault="00D838DC" w:rsidP="00CA207C">
      <w:pPr>
        <w:pStyle w:val="NormalnyWeb"/>
        <w:shd w:val="clear" w:color="auto" w:fill="FFFFFF"/>
        <w:spacing w:before="0" w:after="0"/>
        <w:jc w:val="both"/>
        <w:rPr>
          <w:rStyle w:val="Pogrubienie"/>
          <w:rFonts w:asciiTheme="minorHAnsi" w:hAnsiTheme="minorHAnsi" w:cstheme="minorHAnsi"/>
          <w:b w:val="0"/>
          <w:bCs w:val="0"/>
          <w:color w:val="2C2C2D"/>
        </w:rPr>
      </w:pPr>
      <w:r w:rsidRPr="007B0D12">
        <w:rPr>
          <w:rStyle w:val="Pogrubienie"/>
          <w:rFonts w:asciiTheme="minorHAnsi" w:hAnsiTheme="minorHAnsi" w:cstheme="minorHAnsi"/>
          <w:b w:val="0"/>
          <w:bCs w:val="0"/>
          <w:color w:val="2C2C2D"/>
        </w:rPr>
        <w:t xml:space="preserve">W przypadku, gdy firma MŚP nie spełniła warunków umorzenia, </w:t>
      </w:r>
      <w:r w:rsidR="00617668" w:rsidRPr="007B0D12">
        <w:rPr>
          <w:rStyle w:val="Pogrubienie"/>
          <w:rFonts w:asciiTheme="minorHAnsi" w:hAnsiTheme="minorHAnsi" w:cstheme="minorHAnsi"/>
          <w:b w:val="0"/>
          <w:bCs w:val="0"/>
          <w:color w:val="2C2C2D"/>
        </w:rPr>
        <w:t>beneficjent</w:t>
      </w:r>
      <w:r w:rsidRPr="007B0D12">
        <w:rPr>
          <w:rStyle w:val="Pogrubienie"/>
          <w:rFonts w:asciiTheme="minorHAnsi" w:hAnsiTheme="minorHAnsi" w:cstheme="minorHAnsi"/>
          <w:b w:val="0"/>
          <w:bCs w:val="0"/>
          <w:color w:val="2C2C2D"/>
        </w:rPr>
        <w:t xml:space="preserve"> otrzyma w</w:t>
      </w:r>
      <w:r w:rsidR="00617668" w:rsidRPr="007B0D12">
        <w:rPr>
          <w:rStyle w:val="Pogrubienie"/>
          <w:rFonts w:asciiTheme="minorHAnsi" w:hAnsiTheme="minorHAnsi" w:cstheme="minorHAnsi"/>
          <w:b w:val="0"/>
          <w:bCs w:val="0"/>
          <w:color w:val="2C2C2D"/>
        </w:rPr>
        <w:t xml:space="preserve"> treści</w:t>
      </w:r>
      <w:r w:rsidRPr="007B0D12">
        <w:rPr>
          <w:rStyle w:val="Pogrubienie"/>
          <w:rFonts w:asciiTheme="minorHAnsi" w:hAnsiTheme="minorHAnsi" w:cstheme="minorHAnsi"/>
          <w:b w:val="0"/>
          <w:bCs w:val="0"/>
          <w:color w:val="2C2C2D"/>
        </w:rPr>
        <w:t xml:space="preserve"> decyzji informację o wysokości kwoty do zwrotu oraz numer konta PFR, na któr</w:t>
      </w:r>
      <w:r w:rsidR="009503FA" w:rsidRPr="007B0D12">
        <w:rPr>
          <w:rStyle w:val="Pogrubienie"/>
          <w:rFonts w:asciiTheme="minorHAnsi" w:hAnsiTheme="minorHAnsi" w:cstheme="minorHAnsi"/>
          <w:b w:val="0"/>
          <w:bCs w:val="0"/>
          <w:color w:val="2C2C2D"/>
        </w:rPr>
        <w:t>e</w:t>
      </w:r>
      <w:r w:rsidRPr="007B0D12">
        <w:rPr>
          <w:rStyle w:val="Pogrubienie"/>
          <w:rFonts w:asciiTheme="minorHAnsi" w:hAnsiTheme="minorHAnsi" w:cstheme="minorHAnsi"/>
          <w:b w:val="0"/>
          <w:bCs w:val="0"/>
          <w:color w:val="2C2C2D"/>
        </w:rPr>
        <w:t xml:space="preserve"> ten zwrot musi zostać </w:t>
      </w:r>
      <w:r w:rsidR="00617668" w:rsidRPr="007B0D12">
        <w:rPr>
          <w:rStyle w:val="Pogrubienie"/>
          <w:rFonts w:asciiTheme="minorHAnsi" w:hAnsiTheme="minorHAnsi" w:cstheme="minorHAnsi"/>
          <w:b w:val="0"/>
          <w:bCs w:val="0"/>
          <w:color w:val="2C2C2D"/>
        </w:rPr>
        <w:t>do</w:t>
      </w:r>
      <w:r w:rsidRPr="007B0D12">
        <w:rPr>
          <w:rStyle w:val="Pogrubienie"/>
          <w:rFonts w:asciiTheme="minorHAnsi" w:hAnsiTheme="minorHAnsi" w:cstheme="minorHAnsi"/>
          <w:b w:val="0"/>
          <w:bCs w:val="0"/>
          <w:color w:val="2C2C2D"/>
        </w:rPr>
        <w:t>konany.</w:t>
      </w:r>
      <w:r w:rsidR="00617668" w:rsidRPr="007B0D12">
        <w:rPr>
          <w:rFonts w:asciiTheme="minorHAnsi" w:hAnsiTheme="minorHAnsi" w:cstheme="minorHAnsi"/>
        </w:rPr>
        <w:t xml:space="preserve"> </w:t>
      </w:r>
      <w:r w:rsidR="00617668" w:rsidRPr="007B0D12">
        <w:rPr>
          <w:rStyle w:val="Pogrubienie"/>
          <w:rFonts w:asciiTheme="minorHAnsi" w:hAnsiTheme="minorHAnsi" w:cstheme="minorHAnsi"/>
          <w:b w:val="0"/>
          <w:bCs w:val="0"/>
          <w:color w:val="2C2C2D"/>
        </w:rPr>
        <w:t>MŚP są zobowiązane do zwrotu nieumorzonej część subwencji finansowej do 15 września 2022 r.</w:t>
      </w:r>
    </w:p>
    <w:p w14:paraId="4B35219E" w14:textId="4E75EDCC" w:rsidR="00F60931" w:rsidRPr="007B0D12" w:rsidRDefault="00F60931" w:rsidP="00CA207C">
      <w:pPr>
        <w:pStyle w:val="NormalnyWeb"/>
        <w:shd w:val="clear" w:color="auto" w:fill="FFFFFF"/>
        <w:spacing w:before="0" w:after="0"/>
        <w:jc w:val="both"/>
        <w:rPr>
          <w:rStyle w:val="Pogrubienie"/>
          <w:rFonts w:asciiTheme="minorHAnsi" w:hAnsiTheme="minorHAnsi" w:cstheme="minorHAnsi"/>
          <w:b w:val="0"/>
          <w:bCs w:val="0"/>
          <w:color w:val="2C2C2D"/>
        </w:rPr>
      </w:pPr>
      <w:r w:rsidRPr="007B0D12">
        <w:rPr>
          <w:rStyle w:val="Pogrubienie"/>
          <w:rFonts w:asciiTheme="minorHAnsi" w:hAnsiTheme="minorHAnsi" w:cstheme="minorHAnsi"/>
          <w:b w:val="0"/>
          <w:bCs w:val="0"/>
          <w:color w:val="2C2C2D"/>
        </w:rPr>
        <w:t xml:space="preserve">MŚP, które nie dokonały zwrotu nadwyżki otrzymanej subwencji finansowej w terminie do 30 czerwca 2022 r., prosimy o niezwłoczne uregulowanie tego zobowiązania wraz z odsetkami ustawowymi za opóźnienie liczonymi począwszy od 1 lipca 2022 r. Brak tej wpłaty będzie skutkował </w:t>
      </w:r>
      <w:r w:rsidR="000C60F3" w:rsidRPr="007B0D12">
        <w:rPr>
          <w:rStyle w:val="Pogrubienie"/>
          <w:rFonts w:asciiTheme="minorHAnsi" w:hAnsiTheme="minorHAnsi" w:cstheme="minorHAnsi"/>
          <w:b w:val="0"/>
          <w:bCs w:val="0"/>
          <w:color w:val="2C2C2D"/>
        </w:rPr>
        <w:t>wszczęcie</w:t>
      </w:r>
      <w:r w:rsidR="00562E53" w:rsidRPr="007B0D12">
        <w:rPr>
          <w:rStyle w:val="Pogrubienie"/>
          <w:rFonts w:asciiTheme="minorHAnsi" w:hAnsiTheme="minorHAnsi" w:cstheme="minorHAnsi"/>
          <w:b w:val="0"/>
          <w:bCs w:val="0"/>
          <w:color w:val="2C2C2D"/>
        </w:rPr>
        <w:t>m</w:t>
      </w:r>
      <w:r w:rsidR="000C60F3" w:rsidRPr="007B0D12">
        <w:rPr>
          <w:rStyle w:val="Pogrubienie"/>
          <w:rFonts w:asciiTheme="minorHAnsi" w:hAnsiTheme="minorHAnsi" w:cstheme="minorHAnsi"/>
          <w:b w:val="0"/>
          <w:bCs w:val="0"/>
          <w:color w:val="2C2C2D"/>
        </w:rPr>
        <w:t xml:space="preserve"> działań zmierzających do odzyskania przez PFR SA kwot niespłaconych subwencji </w:t>
      </w:r>
      <w:r w:rsidR="00B343E3" w:rsidRPr="007B0D12">
        <w:rPr>
          <w:rStyle w:val="Pogrubienie"/>
          <w:rFonts w:asciiTheme="minorHAnsi" w:hAnsiTheme="minorHAnsi" w:cstheme="minorHAnsi"/>
          <w:b w:val="0"/>
          <w:bCs w:val="0"/>
          <w:color w:val="2C2C2D"/>
        </w:rPr>
        <w:t>i</w:t>
      </w:r>
      <w:r w:rsidR="000C60F3" w:rsidRPr="007B0D12">
        <w:rPr>
          <w:rStyle w:val="Pogrubienie"/>
          <w:rFonts w:asciiTheme="minorHAnsi" w:hAnsiTheme="minorHAnsi" w:cstheme="minorHAnsi"/>
          <w:b w:val="0"/>
          <w:bCs w:val="0"/>
          <w:color w:val="2C2C2D"/>
        </w:rPr>
        <w:t xml:space="preserve"> odsetek </w:t>
      </w:r>
      <w:r w:rsidRPr="007B0D12">
        <w:rPr>
          <w:rStyle w:val="Pogrubienie"/>
          <w:rFonts w:asciiTheme="minorHAnsi" w:hAnsiTheme="minorHAnsi" w:cstheme="minorHAnsi"/>
          <w:b w:val="0"/>
          <w:bCs w:val="0"/>
          <w:color w:val="2C2C2D"/>
        </w:rPr>
        <w:t xml:space="preserve">oraz </w:t>
      </w:r>
      <w:r w:rsidR="00562E53" w:rsidRPr="007B0D12">
        <w:rPr>
          <w:rStyle w:val="Pogrubienie"/>
          <w:rFonts w:asciiTheme="minorHAnsi" w:hAnsiTheme="minorHAnsi" w:cstheme="minorHAnsi"/>
          <w:b w:val="0"/>
          <w:bCs w:val="0"/>
          <w:color w:val="2C2C2D"/>
        </w:rPr>
        <w:t xml:space="preserve">ujawnieniem zobowiązań </w:t>
      </w:r>
      <w:r w:rsidRPr="007B0D12">
        <w:rPr>
          <w:rStyle w:val="Pogrubienie"/>
          <w:rFonts w:asciiTheme="minorHAnsi" w:hAnsiTheme="minorHAnsi" w:cstheme="minorHAnsi"/>
          <w:b w:val="0"/>
          <w:bCs w:val="0"/>
          <w:color w:val="2C2C2D"/>
        </w:rPr>
        <w:t xml:space="preserve">przedsiębiorcy </w:t>
      </w:r>
      <w:r w:rsidR="00562E53" w:rsidRPr="007B0D12">
        <w:rPr>
          <w:rStyle w:val="Pogrubienie"/>
          <w:rFonts w:asciiTheme="minorHAnsi" w:hAnsiTheme="minorHAnsi" w:cstheme="minorHAnsi"/>
          <w:b w:val="0"/>
          <w:bCs w:val="0"/>
          <w:color w:val="2C2C2D"/>
        </w:rPr>
        <w:t xml:space="preserve">w biurach informacji </w:t>
      </w:r>
      <w:r w:rsidR="00731352" w:rsidRPr="007B0D12">
        <w:rPr>
          <w:rStyle w:val="Pogrubienie"/>
          <w:rFonts w:asciiTheme="minorHAnsi" w:hAnsiTheme="minorHAnsi" w:cstheme="minorHAnsi"/>
          <w:b w:val="0"/>
          <w:bCs w:val="0"/>
          <w:color w:val="2C2C2D"/>
        </w:rPr>
        <w:t>gospodarczej</w:t>
      </w:r>
      <w:r w:rsidRPr="007B0D12">
        <w:rPr>
          <w:rStyle w:val="Pogrubienie"/>
          <w:rFonts w:asciiTheme="minorHAnsi" w:hAnsiTheme="minorHAnsi" w:cstheme="minorHAnsi"/>
          <w:b w:val="0"/>
          <w:bCs w:val="0"/>
          <w:color w:val="2C2C2D"/>
        </w:rPr>
        <w:t>.</w:t>
      </w:r>
    </w:p>
    <w:p w14:paraId="31C74360" w14:textId="6108CE91" w:rsidR="00A11A8C" w:rsidRPr="007B0D12" w:rsidRDefault="00A11A8C" w:rsidP="00CA207C">
      <w:pPr>
        <w:pStyle w:val="NormalnyWeb"/>
        <w:shd w:val="clear" w:color="auto" w:fill="FFFFFF"/>
        <w:spacing w:before="0" w:after="0"/>
        <w:jc w:val="both"/>
        <w:rPr>
          <w:rStyle w:val="Pogrubienie"/>
          <w:rFonts w:asciiTheme="minorHAnsi" w:hAnsiTheme="minorHAnsi" w:cstheme="minorHAnsi"/>
          <w:b w:val="0"/>
          <w:bCs w:val="0"/>
          <w:color w:val="2C2C2D"/>
        </w:rPr>
      </w:pPr>
      <w:r w:rsidRPr="007B0D12">
        <w:rPr>
          <w:rStyle w:val="Pogrubienie"/>
          <w:rFonts w:asciiTheme="minorHAnsi" w:hAnsiTheme="minorHAnsi" w:cstheme="minorHAnsi"/>
          <w:b w:val="0"/>
          <w:bCs w:val="0"/>
          <w:color w:val="2C2C2D"/>
        </w:rPr>
        <w:t>W innych, indywidualnych przypadkach, m.in. konieczności przeprowadzenia przez PFR dodatkowych analiz, w tym ze współpracującymi z PFR instytucjami publicznymi, czy błędów w rozliczeniu</w:t>
      </w:r>
      <w:r w:rsidR="009503FA" w:rsidRPr="007B0D12">
        <w:rPr>
          <w:rStyle w:val="Pogrubienie"/>
          <w:rFonts w:asciiTheme="minorHAnsi" w:hAnsiTheme="minorHAnsi" w:cstheme="minorHAnsi"/>
          <w:b w:val="0"/>
          <w:bCs w:val="0"/>
          <w:color w:val="2C2C2D"/>
        </w:rPr>
        <w:t xml:space="preserve"> -</w:t>
      </w:r>
      <w:r w:rsidRPr="007B0D12">
        <w:rPr>
          <w:rStyle w:val="Pogrubienie"/>
          <w:rFonts w:asciiTheme="minorHAnsi" w:hAnsiTheme="minorHAnsi" w:cstheme="minorHAnsi"/>
          <w:b w:val="0"/>
          <w:bCs w:val="0"/>
          <w:color w:val="2C2C2D"/>
        </w:rPr>
        <w:t xml:space="preserve"> PFR poinformuje beneficjenta w </w:t>
      </w:r>
      <w:r w:rsidR="00A74F3D" w:rsidRPr="007B0D12">
        <w:rPr>
          <w:rStyle w:val="Pogrubienie"/>
          <w:rFonts w:asciiTheme="minorHAnsi" w:hAnsiTheme="minorHAnsi" w:cstheme="minorHAnsi"/>
          <w:b w:val="0"/>
          <w:bCs w:val="0"/>
          <w:color w:val="2C2C2D"/>
        </w:rPr>
        <w:t>komunikacie</w:t>
      </w:r>
      <w:r w:rsidRPr="007B0D12">
        <w:rPr>
          <w:rStyle w:val="Pogrubienie"/>
          <w:rFonts w:asciiTheme="minorHAnsi" w:hAnsiTheme="minorHAnsi" w:cstheme="minorHAnsi"/>
          <w:b w:val="0"/>
          <w:bCs w:val="0"/>
          <w:color w:val="2C2C2D"/>
        </w:rPr>
        <w:t xml:space="preserve"> o statusie jego sprawy oraz dalszych krokach postępowania. </w:t>
      </w:r>
    </w:p>
    <w:p w14:paraId="488F55CE" w14:textId="7177FB63" w:rsidR="00D838DC" w:rsidRPr="00325259" w:rsidRDefault="00617668" w:rsidP="00CA207C">
      <w:pPr>
        <w:pStyle w:val="NormalnyWeb"/>
        <w:shd w:val="clear" w:color="auto" w:fill="FFFFFF"/>
        <w:spacing w:before="0" w:after="0"/>
        <w:jc w:val="both"/>
        <w:rPr>
          <w:rStyle w:val="Pogrubienie"/>
          <w:rFonts w:asciiTheme="minorHAnsi" w:hAnsiTheme="minorHAnsi" w:cstheme="minorHAnsi"/>
          <w:b w:val="0"/>
          <w:bCs w:val="0"/>
        </w:rPr>
      </w:pPr>
      <w:r w:rsidRPr="007B0D12">
        <w:rPr>
          <w:rStyle w:val="Pogrubienie"/>
          <w:rFonts w:asciiTheme="minorHAnsi" w:hAnsiTheme="minorHAnsi" w:cstheme="minorHAnsi"/>
          <w:b w:val="0"/>
          <w:bCs w:val="0"/>
          <w:color w:val="2C2C2D"/>
        </w:rPr>
        <w:t xml:space="preserve">Uwaga! Zarówno w przypadku mikrofirm, jak i </w:t>
      </w:r>
      <w:r w:rsidRPr="007B0D12">
        <w:rPr>
          <w:rStyle w:val="Pogrubienie"/>
          <w:rFonts w:asciiTheme="minorHAnsi" w:hAnsiTheme="minorHAnsi" w:cstheme="minorHAnsi"/>
          <w:color w:val="2C2C2D"/>
        </w:rPr>
        <w:t>MŚP prosimy o zwrócenie szczególnej uwagi na numer konta</w:t>
      </w:r>
      <w:r w:rsidRPr="007B0D12">
        <w:rPr>
          <w:rStyle w:val="Pogrubienie"/>
          <w:rFonts w:asciiTheme="minorHAnsi" w:hAnsiTheme="minorHAnsi" w:cstheme="minorHAnsi"/>
          <w:b w:val="0"/>
          <w:bCs w:val="0"/>
          <w:color w:val="2C2C2D"/>
        </w:rPr>
        <w:t>. Nie jest on tożsamy z numerem, z którego bank dokonywał przelewu subwencji.</w:t>
      </w:r>
      <w:r w:rsidR="00325259">
        <w:rPr>
          <w:rStyle w:val="Pogrubienie"/>
          <w:rFonts w:asciiTheme="minorHAnsi" w:hAnsiTheme="minorHAnsi" w:cstheme="minorHAnsi"/>
          <w:b w:val="0"/>
          <w:bCs w:val="0"/>
          <w:color w:val="2C2C2D"/>
        </w:rPr>
        <w:t xml:space="preserve"> </w:t>
      </w:r>
      <w:r w:rsidR="00325259">
        <w:rPr>
          <w:rStyle w:val="Pogrubienie"/>
          <w:rFonts w:asciiTheme="minorHAnsi" w:hAnsiTheme="minorHAnsi" w:cstheme="minorHAnsi"/>
          <w:b w:val="0"/>
          <w:bCs w:val="0"/>
          <w:color w:val="FF0000"/>
        </w:rPr>
        <w:t>Numer konta, na które ma zostać dokonany zwrot subwencji, może ulec zmianie w przypadku firm, wobec których zostało wszczęte postępowanie windykacyjne. Wówczas numer konta wskazuje firma windykacyjna.</w:t>
      </w:r>
    </w:p>
    <w:p w14:paraId="18A704D6" w14:textId="06F73C7D" w:rsidR="00A74F3D" w:rsidRPr="00BC5DF0" w:rsidRDefault="00A74F3D">
      <w:pPr>
        <w:pStyle w:val="NormalnyWeb"/>
        <w:shd w:val="clear" w:color="auto" w:fill="FFFFFF"/>
        <w:spacing w:before="0" w:after="0"/>
        <w:jc w:val="both"/>
        <w:rPr>
          <w:rStyle w:val="cf01"/>
          <w:rFonts w:asciiTheme="minorHAnsi" w:hAnsiTheme="minorHAnsi" w:cstheme="minorHAnsi"/>
          <w:sz w:val="24"/>
          <w:szCs w:val="24"/>
        </w:rPr>
      </w:pPr>
      <w:r w:rsidRPr="00BC5DF0">
        <w:rPr>
          <w:rStyle w:val="Pogrubienie"/>
          <w:rFonts w:asciiTheme="minorHAnsi" w:hAnsiTheme="minorHAnsi" w:cstheme="minorHAnsi"/>
          <w:b w:val="0"/>
          <w:bCs w:val="0"/>
          <w:color w:val="2C2C2D"/>
        </w:rPr>
        <w:t xml:space="preserve">Przypominamy też, aby zachować </w:t>
      </w:r>
      <w:r w:rsidRPr="00BC5DF0">
        <w:rPr>
          <w:rStyle w:val="Pogrubienie"/>
          <w:rFonts w:asciiTheme="minorHAnsi" w:hAnsiTheme="minorHAnsi" w:cstheme="minorHAnsi"/>
          <w:color w:val="2C2C2D"/>
        </w:rPr>
        <w:t>szczególną ostrożność</w:t>
      </w:r>
      <w:r w:rsidRPr="00BC5DF0">
        <w:rPr>
          <w:rStyle w:val="Pogrubienie"/>
          <w:rFonts w:asciiTheme="minorHAnsi" w:hAnsiTheme="minorHAnsi" w:cstheme="minorHAnsi"/>
          <w:b w:val="0"/>
          <w:bCs w:val="0"/>
          <w:color w:val="2C2C2D"/>
        </w:rPr>
        <w:t xml:space="preserve"> - m.in. </w:t>
      </w:r>
      <w:r w:rsidRPr="00BC5DF0">
        <w:rPr>
          <w:rStyle w:val="Pogrubienie"/>
          <w:rFonts w:asciiTheme="minorHAnsi" w:hAnsiTheme="minorHAnsi" w:cstheme="minorHAnsi"/>
          <w:color w:val="2C2C2D"/>
        </w:rPr>
        <w:t>sprawdzać autorów i adresatów wiadomości oraz numery kont, na które należy dokonać wpłaty</w:t>
      </w:r>
      <w:r w:rsidRPr="00BC5DF0">
        <w:rPr>
          <w:rStyle w:val="Pogrubienie"/>
          <w:rFonts w:asciiTheme="minorHAnsi" w:hAnsiTheme="minorHAnsi" w:cstheme="minorHAnsi"/>
          <w:b w:val="0"/>
          <w:bCs w:val="0"/>
          <w:color w:val="2C2C2D"/>
        </w:rPr>
        <w:t xml:space="preserve">. Informacje o tych numerach znajdują się w wydanych decyzjach przekazanych za pośrednictwem bankowości elektronicznej. Szczególnie uwrażliwiamy beneficjentów na wszelką korespondencję pochodzącą rzekomo od PFR, która może być przesłana do Państwa poza określonym powyżej kanałem korespondencji wg. której wskazany może być inny niż w bankowości elektronicznej numer rachunku lub która zawierać będzie linki do stron zewnętrznych. Prosimy na taką korespondencję nie reagować, a w razie jakichkolwiek wątpliwości </w:t>
      </w:r>
      <w:r w:rsidR="00CC4DDE" w:rsidRPr="00BC5DF0">
        <w:rPr>
          <w:rStyle w:val="Pogrubienie"/>
          <w:rFonts w:asciiTheme="minorHAnsi" w:hAnsiTheme="minorHAnsi" w:cstheme="minorHAnsi"/>
          <w:b w:val="0"/>
          <w:bCs w:val="0"/>
          <w:color w:val="2C2C2D"/>
        </w:rPr>
        <w:t>skontaktować się</w:t>
      </w:r>
      <w:r w:rsidRPr="00BC5DF0">
        <w:rPr>
          <w:rStyle w:val="Pogrubienie"/>
          <w:rFonts w:asciiTheme="minorHAnsi" w:hAnsiTheme="minorHAnsi" w:cstheme="minorHAnsi"/>
          <w:b w:val="0"/>
          <w:bCs w:val="0"/>
          <w:color w:val="2C2C2D"/>
        </w:rPr>
        <w:t xml:space="preserve"> z PFR lub ze swoim bankiem. </w:t>
      </w:r>
      <w:r w:rsidR="00BC5DF0">
        <w:rPr>
          <w:rStyle w:val="Pogrubienie"/>
          <w:rFonts w:asciiTheme="minorHAnsi" w:hAnsiTheme="minorHAnsi" w:cstheme="minorHAnsi"/>
          <w:b w:val="0"/>
          <w:bCs w:val="0"/>
          <w:color w:val="2C2C2D"/>
        </w:rPr>
        <w:t>Tylko w</w:t>
      </w:r>
      <w:r w:rsidR="0014142D" w:rsidRPr="00BC5DF0">
        <w:rPr>
          <w:rStyle w:val="cf01"/>
          <w:rFonts w:asciiTheme="minorHAnsi" w:hAnsiTheme="minorHAnsi" w:cstheme="minorHAnsi"/>
          <w:sz w:val="24"/>
          <w:szCs w:val="24"/>
        </w:rPr>
        <w:t xml:space="preserve"> przypadku braku spłaty z Beneficjentami </w:t>
      </w:r>
      <w:r w:rsidR="0099333F" w:rsidRPr="00BC5DF0">
        <w:rPr>
          <w:rStyle w:val="cf01"/>
          <w:rFonts w:asciiTheme="minorHAnsi" w:hAnsiTheme="minorHAnsi" w:cstheme="minorHAnsi"/>
          <w:sz w:val="24"/>
          <w:szCs w:val="24"/>
        </w:rPr>
        <w:t xml:space="preserve">mogą kontaktować się </w:t>
      </w:r>
      <w:hyperlink r:id="rId6" w:history="1">
        <w:r w:rsidR="00325259">
          <w:rPr>
            <w:rStyle w:val="Hipercze"/>
            <w:rFonts w:asciiTheme="minorHAnsi" w:hAnsiTheme="minorHAnsi" w:cstheme="minorHAnsi"/>
          </w:rPr>
          <w:t>f</w:t>
        </w:r>
        <w:r w:rsidR="0014142D" w:rsidRPr="00BC5DF0">
          <w:rPr>
            <w:rStyle w:val="Hipercze"/>
            <w:rFonts w:asciiTheme="minorHAnsi" w:hAnsiTheme="minorHAnsi" w:cstheme="minorHAnsi"/>
          </w:rPr>
          <w:t xml:space="preserve">irmy </w:t>
        </w:r>
        <w:r w:rsidR="00325259">
          <w:rPr>
            <w:rStyle w:val="Hipercze"/>
            <w:rFonts w:asciiTheme="minorHAnsi" w:hAnsiTheme="minorHAnsi" w:cstheme="minorHAnsi"/>
          </w:rPr>
          <w:t>w</w:t>
        </w:r>
        <w:r w:rsidR="0014142D" w:rsidRPr="00BC5DF0">
          <w:rPr>
            <w:rStyle w:val="Hipercze"/>
            <w:rFonts w:asciiTheme="minorHAnsi" w:hAnsiTheme="minorHAnsi" w:cstheme="minorHAnsi"/>
          </w:rPr>
          <w:t>indykacyjne</w:t>
        </w:r>
      </w:hyperlink>
      <w:r w:rsidR="0099333F" w:rsidRPr="00BC5DF0">
        <w:rPr>
          <w:rStyle w:val="cf01"/>
          <w:rFonts w:asciiTheme="minorHAnsi" w:hAnsiTheme="minorHAnsi" w:cstheme="minorHAnsi"/>
          <w:sz w:val="24"/>
          <w:szCs w:val="24"/>
        </w:rPr>
        <w:t xml:space="preserve">, z którymi PFR zawarł umowy na obsługę wierzytelności. </w:t>
      </w:r>
    </w:p>
    <w:p w14:paraId="3EA3634D" w14:textId="6A60A501" w:rsidR="00694F52" w:rsidRPr="00CA6878" w:rsidRDefault="002D3FFD" w:rsidP="00CA6878">
      <w:pPr>
        <w:pStyle w:val="NormalnyWeb"/>
        <w:shd w:val="clear" w:color="auto" w:fill="FFFFFF"/>
        <w:spacing w:before="0" w:after="0"/>
        <w:jc w:val="both"/>
        <w:rPr>
          <w:rFonts w:asciiTheme="minorHAnsi" w:hAnsiTheme="minorHAnsi" w:cstheme="minorHAnsi"/>
          <w:color w:val="2C2C2D"/>
        </w:rPr>
      </w:pPr>
      <w:r w:rsidRPr="00CA6878">
        <w:rPr>
          <w:rFonts w:asciiTheme="minorHAnsi" w:hAnsiTheme="minorHAnsi" w:cstheme="minorHAnsi"/>
          <w:color w:val="2C2C2D"/>
        </w:rPr>
        <w:lastRenderedPageBreak/>
        <w:t xml:space="preserve">Zapraszamy beneficjentów Tarczy Finansowej 2.0 do uczestnictwa w </w:t>
      </w:r>
      <w:r w:rsidR="00694F52" w:rsidRPr="00CA6878">
        <w:rPr>
          <w:rFonts w:asciiTheme="minorHAnsi" w:hAnsiTheme="minorHAnsi" w:cstheme="minorHAnsi"/>
          <w:color w:val="2C2C2D"/>
        </w:rPr>
        <w:t>bezpłatnych szkol</w:t>
      </w:r>
      <w:r w:rsidR="009503FA" w:rsidRPr="00CA6878">
        <w:rPr>
          <w:rFonts w:asciiTheme="minorHAnsi" w:hAnsiTheme="minorHAnsi" w:cstheme="minorHAnsi"/>
          <w:color w:val="2C2C2D"/>
        </w:rPr>
        <w:t>e</w:t>
      </w:r>
      <w:r w:rsidRPr="00CA6878">
        <w:rPr>
          <w:rFonts w:asciiTheme="minorHAnsi" w:hAnsiTheme="minorHAnsi" w:cstheme="minorHAnsi"/>
          <w:color w:val="2C2C2D"/>
        </w:rPr>
        <w:t>niach</w:t>
      </w:r>
      <w:r w:rsidR="00694F52" w:rsidRPr="00CA6878">
        <w:rPr>
          <w:rFonts w:asciiTheme="minorHAnsi" w:hAnsiTheme="minorHAnsi" w:cstheme="minorHAnsi"/>
          <w:color w:val="2C2C2D"/>
        </w:rPr>
        <w:t xml:space="preserve"> online dla przedsiębiorców </w:t>
      </w:r>
      <w:r w:rsidR="009503FA" w:rsidRPr="00CA6878">
        <w:rPr>
          <w:rFonts w:asciiTheme="minorHAnsi" w:hAnsiTheme="minorHAnsi" w:cstheme="minorHAnsi"/>
          <w:color w:val="2C2C2D"/>
        </w:rPr>
        <w:t xml:space="preserve">dotyczących </w:t>
      </w:r>
      <w:r w:rsidR="00694F52" w:rsidRPr="00CA6878">
        <w:rPr>
          <w:rFonts w:asciiTheme="minorHAnsi" w:hAnsiTheme="minorHAnsi" w:cstheme="minorHAnsi"/>
          <w:color w:val="2C2C2D"/>
        </w:rPr>
        <w:t xml:space="preserve">zasad zwrotów i spłat subwencji. Zapisy na szkolenia </w:t>
      </w:r>
      <w:r w:rsidRPr="00CA6878">
        <w:rPr>
          <w:rFonts w:asciiTheme="minorHAnsi" w:hAnsiTheme="minorHAnsi" w:cstheme="minorHAnsi"/>
          <w:color w:val="2C2C2D"/>
        </w:rPr>
        <w:t>są</w:t>
      </w:r>
      <w:r w:rsidR="00694F52" w:rsidRPr="00CA6878">
        <w:rPr>
          <w:rFonts w:asciiTheme="minorHAnsi" w:hAnsiTheme="minorHAnsi" w:cstheme="minorHAnsi"/>
          <w:color w:val="2C2C2D"/>
        </w:rPr>
        <w:t> </w:t>
      </w:r>
      <w:hyperlink r:id="rId7" w:tgtFrame="_blank" w:history="1">
        <w:r w:rsidR="00694F52" w:rsidRPr="00CA6878">
          <w:rPr>
            <w:rStyle w:val="Hipercze"/>
            <w:rFonts w:asciiTheme="minorHAnsi" w:hAnsiTheme="minorHAnsi" w:cstheme="minorHAnsi"/>
            <w:color w:val="B61929"/>
          </w:rPr>
          <w:t>dostępne na stronie</w:t>
        </w:r>
      </w:hyperlink>
      <w:r w:rsidR="00694F52" w:rsidRPr="00CA6878">
        <w:rPr>
          <w:rStyle w:val="Pogrubienie"/>
          <w:rFonts w:asciiTheme="minorHAnsi" w:hAnsiTheme="minorHAnsi" w:cstheme="minorHAnsi"/>
          <w:color w:val="2C2C2D"/>
        </w:rPr>
        <w:t>.</w:t>
      </w:r>
    </w:p>
    <w:p w14:paraId="3E8F5E6C" w14:textId="77777777" w:rsidR="00694F52" w:rsidRPr="00CA6878" w:rsidRDefault="00694F52" w:rsidP="00CA6878">
      <w:pPr>
        <w:pStyle w:val="NormalnyWeb"/>
        <w:shd w:val="clear" w:color="auto" w:fill="FFFFFF"/>
        <w:jc w:val="both"/>
        <w:rPr>
          <w:rFonts w:asciiTheme="minorHAnsi" w:hAnsiTheme="minorHAnsi" w:cstheme="minorHAnsi"/>
          <w:color w:val="2C2C2D"/>
        </w:rPr>
      </w:pPr>
      <w:r w:rsidRPr="00CA6878">
        <w:rPr>
          <w:rFonts w:asciiTheme="minorHAnsi" w:hAnsiTheme="minorHAnsi" w:cstheme="minorHAnsi"/>
          <w:color w:val="2C2C2D"/>
        </w:rPr>
        <w:t>Tarcza Finansowa PFR 2.0 to program, którego celem była dodatkowa pomoc finansowa dla firm z branż, które musiały ograniczyć lub zawiesić działalność w związku z drugą falą COVID-19. W ramach programu 47,6 tys. firm otrzymało 7,1 mld zł wsparcia, dla ochrony ponad 360 tys. pracowników. Szacujemy, że poziom umorzeń Tarczy 2.0 wyniesie 6,3 mld zł, a więc firmy będą musiały oddać ok 800 mln zł – ok. 12% kwoty wypłaconych subwencji.</w:t>
      </w:r>
    </w:p>
    <w:p w14:paraId="1D262FFA" w14:textId="77777777" w:rsidR="00694F52" w:rsidRPr="00CA6878" w:rsidRDefault="00694F52" w:rsidP="00CA6878">
      <w:pPr>
        <w:pStyle w:val="NormalnyWeb"/>
        <w:shd w:val="clear" w:color="auto" w:fill="FFFFFF"/>
        <w:jc w:val="both"/>
        <w:rPr>
          <w:rFonts w:asciiTheme="minorHAnsi" w:hAnsiTheme="minorHAnsi" w:cstheme="minorHAnsi"/>
          <w:color w:val="2C2C2D"/>
        </w:rPr>
      </w:pPr>
      <w:r w:rsidRPr="00CA6878">
        <w:rPr>
          <w:rFonts w:asciiTheme="minorHAnsi" w:hAnsiTheme="minorHAnsi" w:cstheme="minorHAnsi"/>
          <w:color w:val="2C2C2D"/>
        </w:rPr>
        <w:t>Cały program Tarcz Finansowych 1.0, 2.0 i Tarczy da Dużych Firm objął 353 tys. przedsiębiorstw, którym za pomocą współpracujących banków PFR wypłacił 73,2 mld zł wsparcia.</w:t>
      </w:r>
    </w:p>
    <w:p w14:paraId="5D0B3C05" w14:textId="77777777" w:rsidR="00694F52" w:rsidRPr="00CA6878" w:rsidRDefault="00694F52" w:rsidP="00CA6878">
      <w:pPr>
        <w:pStyle w:val="NormalnyWeb"/>
        <w:shd w:val="clear" w:color="auto" w:fill="FFFFFF"/>
        <w:jc w:val="both"/>
        <w:rPr>
          <w:rFonts w:asciiTheme="minorHAnsi" w:hAnsiTheme="minorHAnsi" w:cstheme="minorHAnsi"/>
          <w:color w:val="2C2C2D"/>
        </w:rPr>
      </w:pPr>
      <w:r w:rsidRPr="00CA6878">
        <w:rPr>
          <w:rFonts w:asciiTheme="minorHAnsi" w:hAnsiTheme="minorHAnsi" w:cstheme="minorHAnsi"/>
          <w:color w:val="2C2C2D"/>
        </w:rPr>
        <w:t>W razie pytań lub wątpliwości można dzwonić na infolinię PFR pod numerem +22 703 43 00 (czynna od poniedziałku do piątku od 8.00 do 17.00, opłata zgodnie z cennikiem operatora).</w:t>
      </w:r>
    </w:p>
    <w:p w14:paraId="2E5102AB" w14:textId="77777777" w:rsidR="00DF4F6F" w:rsidRPr="00CA207C" w:rsidRDefault="00DF4F6F">
      <w:pPr>
        <w:rPr>
          <w:rFonts w:cstheme="minorHAnsi"/>
        </w:rPr>
      </w:pPr>
    </w:p>
    <w:sectPr w:rsidR="00DF4F6F" w:rsidRPr="00CA20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19C91" w14:textId="77777777" w:rsidR="00FA7E54" w:rsidRDefault="00FA7E54" w:rsidP="00D838DC">
      <w:pPr>
        <w:spacing w:after="0" w:line="240" w:lineRule="auto"/>
      </w:pPr>
      <w:r>
        <w:separator/>
      </w:r>
    </w:p>
  </w:endnote>
  <w:endnote w:type="continuationSeparator" w:id="0">
    <w:p w14:paraId="1A557623" w14:textId="77777777" w:rsidR="00FA7E54" w:rsidRDefault="00FA7E54" w:rsidP="00D8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F494E" w14:textId="77777777" w:rsidR="00FA7E54" w:rsidRDefault="00FA7E54" w:rsidP="00D838DC">
      <w:pPr>
        <w:spacing w:after="0" w:line="240" w:lineRule="auto"/>
      </w:pPr>
      <w:r>
        <w:separator/>
      </w:r>
    </w:p>
  </w:footnote>
  <w:footnote w:type="continuationSeparator" w:id="0">
    <w:p w14:paraId="754A37C8" w14:textId="77777777" w:rsidR="00FA7E54" w:rsidRDefault="00FA7E54" w:rsidP="00D838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52"/>
    <w:rsid w:val="00063191"/>
    <w:rsid w:val="000C60F3"/>
    <w:rsid w:val="000D69F4"/>
    <w:rsid w:val="00104479"/>
    <w:rsid w:val="001245AC"/>
    <w:rsid w:val="0014142D"/>
    <w:rsid w:val="001B6A80"/>
    <w:rsid w:val="002D3FFD"/>
    <w:rsid w:val="00325259"/>
    <w:rsid w:val="0034589C"/>
    <w:rsid w:val="0038554F"/>
    <w:rsid w:val="003B70F0"/>
    <w:rsid w:val="00556553"/>
    <w:rsid w:val="00562E53"/>
    <w:rsid w:val="00617668"/>
    <w:rsid w:val="00694F52"/>
    <w:rsid w:val="006F191A"/>
    <w:rsid w:val="00705A72"/>
    <w:rsid w:val="00731352"/>
    <w:rsid w:val="007B0D12"/>
    <w:rsid w:val="007B5125"/>
    <w:rsid w:val="00817C4C"/>
    <w:rsid w:val="0083285B"/>
    <w:rsid w:val="00867881"/>
    <w:rsid w:val="00911DBB"/>
    <w:rsid w:val="009503FA"/>
    <w:rsid w:val="0099333F"/>
    <w:rsid w:val="00A11A8C"/>
    <w:rsid w:val="00A74F3D"/>
    <w:rsid w:val="00AC2F12"/>
    <w:rsid w:val="00B343E3"/>
    <w:rsid w:val="00BC5DF0"/>
    <w:rsid w:val="00CA207C"/>
    <w:rsid w:val="00CA6878"/>
    <w:rsid w:val="00CC4DDE"/>
    <w:rsid w:val="00D838DC"/>
    <w:rsid w:val="00D96073"/>
    <w:rsid w:val="00DF4F6F"/>
    <w:rsid w:val="00E2487F"/>
    <w:rsid w:val="00F60931"/>
    <w:rsid w:val="00FA7E54"/>
    <w:rsid w:val="00FD3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F0129"/>
  <w15:docId w15:val="{2DA660C5-0408-492F-B2B7-A89A01C1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94F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94F52"/>
    <w:rPr>
      <w:b/>
      <w:bCs/>
    </w:rPr>
  </w:style>
  <w:style w:type="character" w:styleId="Hipercze">
    <w:name w:val="Hyperlink"/>
    <w:basedOn w:val="Domylnaczcionkaakapitu"/>
    <w:uiPriority w:val="99"/>
    <w:unhideWhenUsed/>
    <w:rsid w:val="00694F52"/>
    <w:rPr>
      <w:color w:val="0000FF"/>
      <w:u w:val="single"/>
    </w:rPr>
  </w:style>
  <w:style w:type="paragraph" w:styleId="Nagwek">
    <w:name w:val="header"/>
    <w:basedOn w:val="Normalny"/>
    <w:link w:val="NagwekZnak"/>
    <w:uiPriority w:val="99"/>
    <w:unhideWhenUsed/>
    <w:rsid w:val="002D3F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3FFD"/>
  </w:style>
  <w:style w:type="paragraph" w:styleId="Stopka">
    <w:name w:val="footer"/>
    <w:basedOn w:val="Normalny"/>
    <w:link w:val="StopkaZnak"/>
    <w:uiPriority w:val="99"/>
    <w:unhideWhenUsed/>
    <w:rsid w:val="002D3F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FFD"/>
  </w:style>
  <w:style w:type="paragraph" w:styleId="Poprawka">
    <w:name w:val="Revision"/>
    <w:hidden/>
    <w:uiPriority w:val="99"/>
    <w:semiHidden/>
    <w:rsid w:val="009503FA"/>
    <w:pPr>
      <w:spacing w:after="0" w:line="240" w:lineRule="auto"/>
    </w:pPr>
  </w:style>
  <w:style w:type="character" w:styleId="Odwoaniedokomentarza">
    <w:name w:val="annotation reference"/>
    <w:basedOn w:val="Domylnaczcionkaakapitu"/>
    <w:uiPriority w:val="99"/>
    <w:semiHidden/>
    <w:unhideWhenUsed/>
    <w:rsid w:val="0038554F"/>
    <w:rPr>
      <w:sz w:val="16"/>
      <w:szCs w:val="16"/>
    </w:rPr>
  </w:style>
  <w:style w:type="paragraph" w:styleId="Tekstkomentarza">
    <w:name w:val="annotation text"/>
    <w:basedOn w:val="Normalny"/>
    <w:link w:val="TekstkomentarzaZnak"/>
    <w:uiPriority w:val="99"/>
    <w:unhideWhenUsed/>
    <w:rsid w:val="0038554F"/>
    <w:pPr>
      <w:spacing w:line="240" w:lineRule="auto"/>
    </w:pPr>
    <w:rPr>
      <w:sz w:val="20"/>
      <w:szCs w:val="20"/>
    </w:rPr>
  </w:style>
  <w:style w:type="character" w:customStyle="1" w:styleId="TekstkomentarzaZnak">
    <w:name w:val="Tekst komentarza Znak"/>
    <w:basedOn w:val="Domylnaczcionkaakapitu"/>
    <w:link w:val="Tekstkomentarza"/>
    <w:uiPriority w:val="99"/>
    <w:rsid w:val="0038554F"/>
    <w:rPr>
      <w:sz w:val="20"/>
      <w:szCs w:val="20"/>
    </w:rPr>
  </w:style>
  <w:style w:type="paragraph" w:styleId="Tematkomentarza">
    <w:name w:val="annotation subject"/>
    <w:basedOn w:val="Tekstkomentarza"/>
    <w:next w:val="Tekstkomentarza"/>
    <w:link w:val="TematkomentarzaZnak"/>
    <w:uiPriority w:val="99"/>
    <w:semiHidden/>
    <w:unhideWhenUsed/>
    <w:rsid w:val="0038554F"/>
    <w:rPr>
      <w:b/>
      <w:bCs/>
    </w:rPr>
  </w:style>
  <w:style w:type="character" w:customStyle="1" w:styleId="TematkomentarzaZnak">
    <w:name w:val="Temat komentarza Znak"/>
    <w:basedOn w:val="TekstkomentarzaZnak"/>
    <w:link w:val="Tematkomentarza"/>
    <w:uiPriority w:val="99"/>
    <w:semiHidden/>
    <w:rsid w:val="0038554F"/>
    <w:rPr>
      <w:b/>
      <w:bCs/>
      <w:sz w:val="20"/>
      <w:szCs w:val="20"/>
    </w:rPr>
  </w:style>
  <w:style w:type="character" w:customStyle="1" w:styleId="cf01">
    <w:name w:val="cf01"/>
    <w:basedOn w:val="Domylnaczcionkaakapitu"/>
    <w:rsid w:val="0014142D"/>
    <w:rPr>
      <w:rFonts w:ascii="Segoe UI" w:hAnsi="Segoe UI" w:cs="Segoe UI" w:hint="default"/>
      <w:sz w:val="18"/>
      <w:szCs w:val="18"/>
    </w:rPr>
  </w:style>
  <w:style w:type="character" w:customStyle="1" w:styleId="UnresolvedMention">
    <w:name w:val="Unresolved Mention"/>
    <w:basedOn w:val="Domylnaczcionkaakapitu"/>
    <w:uiPriority w:val="99"/>
    <w:semiHidden/>
    <w:unhideWhenUsed/>
    <w:rsid w:val="00CA6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6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frportal.pl/tarcza-finansowa-pfr-2-0-zapisz-sie-na-szkole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frsa.pl/aktualnosci/tarcza-finansowa-pfr-2.0/obsluga-wierzytelnosci-na-rzecz-pfr.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3719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dc:creator>
  <cp:keywords/>
  <dc:description/>
  <cp:lastModifiedBy>Jakub Domagalski</cp:lastModifiedBy>
  <cp:revision>3</cp:revision>
  <dcterms:created xsi:type="dcterms:W3CDTF">2022-07-14T06:54:00Z</dcterms:created>
  <dcterms:modified xsi:type="dcterms:W3CDTF">2022-07-14T06:55:00Z</dcterms:modified>
</cp:coreProperties>
</file>